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C9" w:rsidRPr="00A311C9" w:rsidRDefault="00A311C9">
      <w:pPr>
        <w:ind w:right="-259"/>
        <w:jc w:val="center"/>
        <w:rPr>
          <w:rFonts w:eastAsia="Times New Roman"/>
          <w:b/>
          <w:sz w:val="28"/>
          <w:szCs w:val="28"/>
        </w:rPr>
      </w:pPr>
      <w:r w:rsidRPr="00A311C9">
        <w:rPr>
          <w:rFonts w:eastAsia="Times New Roman"/>
          <w:b/>
          <w:sz w:val="28"/>
          <w:szCs w:val="28"/>
        </w:rPr>
        <w:t>Предложение о заключении договора (публичная оферта)</w:t>
      </w:r>
    </w:p>
    <w:p w:rsidR="00A311C9" w:rsidRDefault="00A311C9">
      <w:pPr>
        <w:ind w:right="-259"/>
        <w:jc w:val="center"/>
        <w:rPr>
          <w:rFonts w:eastAsia="Times New Roman"/>
          <w:sz w:val="28"/>
          <w:szCs w:val="28"/>
        </w:rPr>
      </w:pPr>
    </w:p>
    <w:p w:rsidR="00071946" w:rsidRDefault="00A311C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Региональный оператор в зоне деятельности №1</w:t>
      </w:r>
    </w:p>
    <w:p w:rsidR="00071946" w:rsidRDefault="00071946">
      <w:pPr>
        <w:spacing w:line="167" w:lineRule="exact"/>
        <w:rPr>
          <w:sz w:val="24"/>
          <w:szCs w:val="24"/>
        </w:rPr>
      </w:pPr>
    </w:p>
    <w:p w:rsidR="00071946" w:rsidRDefault="00A311C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МУП «Спецавтохозяйство по уборке города»</w:t>
      </w:r>
    </w:p>
    <w:p w:rsidR="00071946" w:rsidRDefault="00071946">
      <w:pPr>
        <w:spacing w:line="175" w:lineRule="exact"/>
        <w:rPr>
          <w:sz w:val="24"/>
          <w:szCs w:val="24"/>
        </w:rPr>
      </w:pPr>
    </w:p>
    <w:p w:rsidR="00071946" w:rsidRDefault="00A311C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450059,РФ, Республика Башкортостан, г. Уфа, ул. Малая Гражданская, 35</w:t>
      </w:r>
    </w:p>
    <w:p w:rsidR="00071946" w:rsidRDefault="00071946">
      <w:pPr>
        <w:spacing w:line="161" w:lineRule="exact"/>
        <w:rPr>
          <w:sz w:val="24"/>
          <w:szCs w:val="24"/>
        </w:rPr>
      </w:pPr>
    </w:p>
    <w:p w:rsidR="00071946" w:rsidRDefault="00A311C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Уважаемый потребитель!</w:t>
      </w:r>
    </w:p>
    <w:p w:rsidR="00071946" w:rsidRDefault="00071946">
      <w:pPr>
        <w:spacing w:line="239" w:lineRule="exact"/>
        <w:rPr>
          <w:sz w:val="24"/>
          <w:szCs w:val="24"/>
        </w:rPr>
      </w:pPr>
    </w:p>
    <w:p w:rsidR="00071946" w:rsidRDefault="00A311C9">
      <w:pPr>
        <w:numPr>
          <w:ilvl w:val="1"/>
          <w:numId w:val="1"/>
        </w:numPr>
        <w:tabs>
          <w:tab w:val="left" w:pos="1278"/>
        </w:tabs>
        <w:spacing w:line="24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требованиями Федерального Закона № 89-ФЗ «Об отходах </w:t>
      </w:r>
      <w:r>
        <w:rPr>
          <w:rFonts w:eastAsia="Times New Roman"/>
          <w:sz w:val="24"/>
          <w:szCs w:val="24"/>
        </w:rPr>
        <w:t>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исключительно региональным оператором.</w:t>
      </w:r>
    </w:p>
    <w:p w:rsidR="00071946" w:rsidRDefault="00071946">
      <w:pPr>
        <w:spacing w:line="3" w:lineRule="exact"/>
        <w:rPr>
          <w:rFonts w:eastAsia="Times New Roman"/>
          <w:sz w:val="24"/>
          <w:szCs w:val="24"/>
        </w:rPr>
      </w:pPr>
    </w:p>
    <w:p w:rsidR="00071946" w:rsidRDefault="00A311C9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итогам конкурсного от</w:t>
      </w:r>
      <w:r>
        <w:rPr>
          <w:rFonts w:eastAsia="Times New Roman"/>
          <w:sz w:val="24"/>
          <w:szCs w:val="24"/>
        </w:rPr>
        <w:t>бора, проведенного Министерством природопользовании</w:t>
      </w:r>
    </w:p>
    <w:p w:rsidR="00071946" w:rsidRDefault="00A311C9">
      <w:pPr>
        <w:numPr>
          <w:ilvl w:val="0"/>
          <w:numId w:val="1"/>
        </w:numPr>
        <w:tabs>
          <w:tab w:val="left" w:pos="485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экологии Республики Башкортостан статус реги</w:t>
      </w:r>
      <w:r>
        <w:rPr>
          <w:rFonts w:eastAsia="Times New Roman"/>
        </w:rPr>
        <w:t>онального оператора в зоне деятельности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 xml:space="preserve">№1 присвоен МУП </w:t>
      </w:r>
      <w:r>
        <w:rPr>
          <w:rFonts w:eastAsia="Times New Roman"/>
          <w:sz w:val="24"/>
          <w:szCs w:val="24"/>
        </w:rPr>
        <w:t>«Спец</w:t>
      </w:r>
      <w:r>
        <w:rPr>
          <w:rFonts w:eastAsia="Times New Roman"/>
        </w:rPr>
        <w:t xml:space="preserve">автохозяйство </w:t>
      </w:r>
      <w:r>
        <w:rPr>
          <w:rFonts w:eastAsia="Times New Roman"/>
          <w:sz w:val="24"/>
          <w:szCs w:val="24"/>
        </w:rPr>
        <w:t>по уборке города»</w:t>
      </w:r>
      <w:r>
        <w:rPr>
          <w:rFonts w:eastAsia="Times New Roman"/>
        </w:rPr>
        <w:t xml:space="preserve"> согласно соглашения №1/2018 от 23.04.2018г. об организации деятельн</w:t>
      </w:r>
      <w:r>
        <w:rPr>
          <w:rFonts w:eastAsia="Times New Roman"/>
        </w:rPr>
        <w:t>ости по обращению с твёрдыми коммунальными отходами на территории Республики Башкортостан в зоне деятельности регионального оператора №1.</w:t>
      </w:r>
    </w:p>
    <w:p w:rsidR="00071946" w:rsidRDefault="00071946">
      <w:pPr>
        <w:spacing w:line="3" w:lineRule="exact"/>
        <w:rPr>
          <w:rFonts w:eastAsia="Times New Roman"/>
          <w:sz w:val="24"/>
          <w:szCs w:val="24"/>
        </w:rPr>
      </w:pPr>
    </w:p>
    <w:p w:rsidR="00071946" w:rsidRDefault="00A311C9">
      <w:pPr>
        <w:numPr>
          <w:ilvl w:val="1"/>
          <w:numId w:val="1"/>
        </w:numPr>
        <w:tabs>
          <w:tab w:val="left" w:pos="1234"/>
        </w:tabs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зону деятельности №1 регионального оператора МУП «Спецавтохозяйство по уборке города» входят:</w:t>
      </w:r>
    </w:p>
    <w:p w:rsidR="00071946" w:rsidRDefault="00071946">
      <w:pPr>
        <w:spacing w:line="1" w:lineRule="exact"/>
        <w:rPr>
          <w:rFonts w:eastAsia="Times New Roman"/>
          <w:sz w:val="24"/>
          <w:szCs w:val="24"/>
        </w:rPr>
      </w:pPr>
    </w:p>
    <w:p w:rsidR="00071946" w:rsidRDefault="00A311C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Городской округ город </w:t>
      </w:r>
      <w:r>
        <w:rPr>
          <w:rFonts w:eastAsia="Times New Roman"/>
          <w:sz w:val="24"/>
          <w:szCs w:val="24"/>
        </w:rPr>
        <w:t>Уфа РБ; Архангельский район РБ; Белокатайский район РБ; Благоварский район РБ; Благовещенский район РБ; Дуванский район; Иглинский район; Кармаскалинский район РБ; Кигинский район РБ; Кушнаренковский район РБ; Мечетлинский район РБ; Нуримановский район РБ;</w:t>
      </w:r>
      <w:r>
        <w:rPr>
          <w:rFonts w:eastAsia="Times New Roman"/>
          <w:sz w:val="24"/>
          <w:szCs w:val="24"/>
        </w:rPr>
        <w:t xml:space="preserve"> Салаватский районРБ; Уфимский район РБ; Чишминский район РБ.</w:t>
      </w:r>
    </w:p>
    <w:p w:rsidR="00071946" w:rsidRDefault="00A311C9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Начало осуществления деятельности - 01.01.2019г.</w:t>
      </w:r>
    </w:p>
    <w:p w:rsidR="00071946" w:rsidRDefault="00A311C9">
      <w:pPr>
        <w:spacing w:line="27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Собственники твердых коммунальных отходов </w:t>
      </w:r>
      <w:r>
        <w:rPr>
          <w:rFonts w:eastAsia="Times New Roman"/>
          <w:sz w:val="24"/>
          <w:szCs w:val="24"/>
          <w:u w:val="single"/>
        </w:rPr>
        <w:t>обязаны</w:t>
      </w:r>
      <w:r>
        <w:rPr>
          <w:rFonts w:eastAsia="Times New Roman"/>
          <w:sz w:val="24"/>
          <w:szCs w:val="24"/>
        </w:rPr>
        <w:t xml:space="preserve"> заключить договор на оказание услуг по обращению с твердыми коммунальными отходами с региональным оператором </w:t>
      </w:r>
      <w:r>
        <w:rPr>
          <w:rFonts w:eastAsia="Times New Roman"/>
        </w:rPr>
        <w:t>(МУП</w:t>
      </w:r>
      <w:r>
        <w:rPr>
          <w:rFonts w:eastAsia="Times New Roman"/>
          <w:sz w:val="24"/>
          <w:szCs w:val="24"/>
        </w:rPr>
        <w:t xml:space="preserve"> «Спец</w:t>
      </w:r>
      <w:r>
        <w:rPr>
          <w:rFonts w:eastAsia="Times New Roman"/>
        </w:rPr>
        <w:t>автохозяйство</w:t>
      </w:r>
      <w:r>
        <w:rPr>
          <w:rFonts w:eastAsia="Times New Roman"/>
          <w:sz w:val="24"/>
          <w:szCs w:val="24"/>
        </w:rPr>
        <w:t xml:space="preserve"> по уборке города» - региональный оператор в зоне деятельности №1), в зоне деятельности которого образуются твердые коммуна</w:t>
      </w:r>
      <w:r>
        <w:rPr>
          <w:rFonts w:eastAsia="Times New Roman"/>
          <w:sz w:val="24"/>
          <w:szCs w:val="24"/>
        </w:rPr>
        <w:t>льные отходы и находятся места их накопления.</w:t>
      </w:r>
    </w:p>
    <w:p w:rsidR="00071946" w:rsidRDefault="00071946">
      <w:pPr>
        <w:spacing w:line="154" w:lineRule="exact"/>
        <w:rPr>
          <w:sz w:val="24"/>
          <w:szCs w:val="24"/>
        </w:rPr>
      </w:pPr>
    </w:p>
    <w:p w:rsidR="00071946" w:rsidRDefault="00A311C9">
      <w:pPr>
        <w:spacing w:line="2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Договор на оказание услуг по обращению с твердыми коммунальными отходами Вы можете заключить в письменной форме или путем совершения конклюдентных действий, т.е. договор считается заключенным с момента начала </w:t>
      </w:r>
      <w:r>
        <w:rPr>
          <w:rFonts w:eastAsia="Times New Roman"/>
          <w:sz w:val="24"/>
          <w:szCs w:val="24"/>
        </w:rPr>
        <w:t>оказания услуг Региональным оператором (первый вывоз ТКО с места сбора).</w:t>
      </w:r>
    </w:p>
    <w:p w:rsidR="00071946" w:rsidRDefault="00071946">
      <w:pPr>
        <w:spacing w:line="3" w:lineRule="exact"/>
        <w:rPr>
          <w:sz w:val="24"/>
          <w:szCs w:val="24"/>
        </w:rPr>
      </w:pPr>
    </w:p>
    <w:p w:rsidR="00071946" w:rsidRDefault="00A311C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Уведомляем Вас, что с текстом Договора на оказание услуг по обращению с</w:t>
      </w:r>
    </w:p>
    <w:p w:rsidR="00071946" w:rsidRDefault="00071946">
      <w:pPr>
        <w:spacing w:line="11" w:lineRule="exact"/>
        <w:rPr>
          <w:sz w:val="24"/>
          <w:szCs w:val="24"/>
        </w:rPr>
      </w:pPr>
    </w:p>
    <w:p w:rsidR="00071946" w:rsidRDefault="00A311C9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твердыми коммунальными отходами, который Вы обязаны заключить, а также с перечнем необходимых для этого докум</w:t>
      </w:r>
      <w:r>
        <w:rPr>
          <w:rFonts w:eastAsia="Times New Roman"/>
          <w:sz w:val="24"/>
          <w:szCs w:val="24"/>
        </w:rPr>
        <w:t xml:space="preserve">ентов, можно ознакомится на официальном сайте МУП «Спецавтохозяйство по уборке города» региональный оператора в зоне деятельности №1 </w:t>
      </w:r>
      <w:r>
        <w:rPr>
          <w:rFonts w:eastAsia="Times New Roman"/>
          <w:color w:val="0000FF"/>
          <w:sz w:val="24"/>
          <w:szCs w:val="24"/>
          <w:u w:val="single"/>
        </w:rPr>
        <w:t>www.sahufa.ru</w:t>
      </w:r>
    </w:p>
    <w:p w:rsidR="00071946" w:rsidRDefault="00071946">
      <w:pPr>
        <w:spacing w:line="149" w:lineRule="exact"/>
        <w:rPr>
          <w:sz w:val="24"/>
          <w:szCs w:val="24"/>
        </w:rPr>
      </w:pPr>
    </w:p>
    <w:p w:rsidR="00071946" w:rsidRDefault="00A311C9">
      <w:pPr>
        <w:numPr>
          <w:ilvl w:val="2"/>
          <w:numId w:val="2"/>
        </w:numPr>
        <w:tabs>
          <w:tab w:val="left" w:pos="2800"/>
        </w:tabs>
        <w:ind w:left="280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вышеизложенным Вам необходимо:</w:t>
      </w:r>
    </w:p>
    <w:p w:rsidR="00071946" w:rsidRDefault="00071946">
      <w:pPr>
        <w:spacing w:line="69" w:lineRule="exact"/>
        <w:rPr>
          <w:rFonts w:eastAsia="Times New Roman"/>
          <w:sz w:val="24"/>
          <w:szCs w:val="24"/>
        </w:rPr>
      </w:pPr>
    </w:p>
    <w:p w:rsidR="00071946" w:rsidRDefault="00A311C9">
      <w:pPr>
        <w:numPr>
          <w:ilvl w:val="0"/>
          <w:numId w:val="2"/>
        </w:numPr>
        <w:tabs>
          <w:tab w:val="left" w:pos="680"/>
        </w:tabs>
        <w:spacing w:line="249" w:lineRule="auto"/>
        <w:ind w:left="68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предоставить, посредством электронной почты либо с использованием во</w:t>
      </w:r>
      <w:r>
        <w:rPr>
          <w:rFonts w:eastAsia="Times New Roman"/>
          <w:sz w:val="24"/>
          <w:szCs w:val="24"/>
        </w:rPr>
        <w:t>зможностей обратной связи сайта регионального оператора, информацию об объеме образуемых Вашей организацией отходов, количестве и месте расположения используемых контейнеров для накопления ТКО;</w:t>
      </w:r>
    </w:p>
    <w:p w:rsidR="00071946" w:rsidRDefault="00071946">
      <w:pPr>
        <w:spacing w:line="3" w:lineRule="exact"/>
        <w:rPr>
          <w:rFonts w:eastAsia="Times New Roman"/>
          <w:sz w:val="24"/>
          <w:szCs w:val="24"/>
        </w:rPr>
      </w:pPr>
    </w:p>
    <w:p w:rsidR="00071946" w:rsidRDefault="00A311C9">
      <w:pPr>
        <w:numPr>
          <w:ilvl w:val="0"/>
          <w:numId w:val="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реквизиты потребителя:</w:t>
      </w:r>
    </w:p>
    <w:p w:rsidR="00071946" w:rsidRDefault="00A311C9">
      <w:pPr>
        <w:numPr>
          <w:ilvl w:val="0"/>
          <w:numId w:val="2"/>
        </w:numPr>
        <w:tabs>
          <w:tab w:val="left" w:pos="680"/>
        </w:tabs>
        <w:ind w:left="68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физического лица - фамилия, имя, </w:t>
      </w:r>
      <w:r>
        <w:rPr>
          <w:rFonts w:eastAsia="Times New Roman"/>
          <w:sz w:val="24"/>
          <w:szCs w:val="24"/>
        </w:rPr>
        <w:t xml:space="preserve">отчество, серия, номер и дата выдачи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Федерации, адрес регистрации по месту жительства и </w:t>
      </w:r>
      <w:r>
        <w:rPr>
          <w:rFonts w:eastAsia="Times New Roman"/>
          <w:sz w:val="24"/>
          <w:szCs w:val="24"/>
        </w:rPr>
        <w:t>контактные данные потребителя;</w:t>
      </w:r>
    </w:p>
    <w:p w:rsidR="00071946" w:rsidRDefault="00A311C9">
      <w:pPr>
        <w:numPr>
          <w:ilvl w:val="0"/>
          <w:numId w:val="2"/>
        </w:numPr>
        <w:tabs>
          <w:tab w:val="left" w:pos="680"/>
        </w:tabs>
        <w:ind w:left="68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юридического лица - полное наименование, основной государственный регистрационный номер записи в Едином государственном реестре юридических лиц</w:t>
      </w:r>
    </w:p>
    <w:p w:rsidR="00071946" w:rsidRDefault="00A311C9">
      <w:pPr>
        <w:numPr>
          <w:ilvl w:val="1"/>
          <w:numId w:val="2"/>
        </w:numPr>
        <w:tabs>
          <w:tab w:val="left" w:pos="1040"/>
        </w:tabs>
        <w:ind w:left="68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ее внесения в реестр, фактический адрес, индивидуальный номер налогоплат</w:t>
      </w:r>
      <w:r>
        <w:rPr>
          <w:rFonts w:eastAsia="Times New Roman"/>
          <w:sz w:val="24"/>
          <w:szCs w:val="24"/>
        </w:rPr>
        <w:t>ельщика, банковские реквизиты и документы, удостоверяющие право лица</w:t>
      </w:r>
    </w:p>
    <w:p w:rsidR="00071946" w:rsidRDefault="00071946">
      <w:pPr>
        <w:sectPr w:rsidR="00071946">
          <w:pgSz w:w="11900" w:h="16838"/>
          <w:pgMar w:top="390" w:right="846" w:bottom="174" w:left="1440" w:header="0" w:footer="0" w:gutter="0"/>
          <w:cols w:space="720" w:equalWidth="0">
            <w:col w:w="9620"/>
          </w:cols>
        </w:sectPr>
      </w:pPr>
    </w:p>
    <w:p w:rsidR="00071946" w:rsidRDefault="00071946">
      <w:pPr>
        <w:spacing w:line="148" w:lineRule="exact"/>
        <w:rPr>
          <w:sz w:val="24"/>
          <w:szCs w:val="24"/>
        </w:rPr>
      </w:pPr>
    </w:p>
    <w:p w:rsidR="00071946" w:rsidRDefault="00071946">
      <w:pPr>
        <w:sectPr w:rsidR="00071946">
          <w:type w:val="continuous"/>
          <w:pgSz w:w="11900" w:h="16838"/>
          <w:pgMar w:top="390" w:right="846" w:bottom="174" w:left="1440" w:header="0" w:footer="0" w:gutter="0"/>
          <w:cols w:space="720" w:equalWidth="0">
            <w:col w:w="9620"/>
          </w:cols>
        </w:sectPr>
      </w:pPr>
    </w:p>
    <w:p w:rsidR="00071946" w:rsidRDefault="00A311C9">
      <w:pPr>
        <w:spacing w:line="258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на подписание </w:t>
      </w:r>
      <w:proofErr w:type="gramStart"/>
      <w:r>
        <w:rPr>
          <w:rFonts w:eastAsia="Times New Roman"/>
          <w:sz w:val="24"/>
          <w:szCs w:val="24"/>
        </w:rPr>
        <w:t>договора</w:t>
      </w:r>
      <w:proofErr w:type="gramEnd"/>
      <w:r>
        <w:rPr>
          <w:rFonts w:eastAsia="Times New Roman"/>
          <w:sz w:val="24"/>
          <w:szCs w:val="24"/>
        </w:rPr>
        <w:t xml:space="preserve"> на оказание услуг по обращению с твердыми коммунальными отходами;</w:t>
      </w:r>
    </w:p>
    <w:p w:rsidR="00071946" w:rsidRDefault="00071946">
      <w:pPr>
        <w:spacing w:line="1" w:lineRule="exact"/>
        <w:rPr>
          <w:sz w:val="20"/>
          <w:szCs w:val="20"/>
        </w:rPr>
      </w:pPr>
    </w:p>
    <w:p w:rsidR="00071946" w:rsidRDefault="00A311C9">
      <w:pPr>
        <w:tabs>
          <w:tab w:val="left" w:pos="660"/>
        </w:tabs>
        <w:ind w:left="680" w:hanging="4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для индивидуального предпринимателя - основной</w:t>
      </w:r>
      <w:r>
        <w:rPr>
          <w:rFonts w:eastAsia="Times New Roman"/>
          <w:sz w:val="24"/>
          <w:szCs w:val="24"/>
        </w:rPr>
        <w:t xml:space="preserve">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индивидуальный номер налогоплательщика и банковские реквизиты;</w:t>
      </w:r>
    </w:p>
    <w:p w:rsidR="00071946" w:rsidRDefault="00A311C9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и</w:t>
      </w:r>
      <w:r>
        <w:rPr>
          <w:rFonts w:eastAsia="Times New Roman"/>
          <w:sz w:val="24"/>
          <w:szCs w:val="24"/>
        </w:rPr>
        <w:t xml:space="preserve"> местонахождение помещений и иных объектов недвижимого имущества;</w:t>
      </w:r>
    </w:p>
    <w:p w:rsidR="00071946" w:rsidRDefault="00A311C9">
      <w:pPr>
        <w:numPr>
          <w:ilvl w:val="0"/>
          <w:numId w:val="3"/>
        </w:numPr>
        <w:tabs>
          <w:tab w:val="left" w:pos="680"/>
        </w:tabs>
        <w:ind w:left="68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виде хозяйственной и (или) иной деятельности, осуществляемой потребителем (для юридического лица и индивидуального предпринимателя), сведения о количестве и составе образующихся т</w:t>
      </w:r>
      <w:r>
        <w:rPr>
          <w:rFonts w:eastAsia="Times New Roman"/>
          <w:sz w:val="24"/>
          <w:szCs w:val="24"/>
        </w:rPr>
        <w:t>вердых коммунальных отходов за год.</w:t>
      </w:r>
    </w:p>
    <w:p w:rsidR="00071946" w:rsidRDefault="00A311C9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заявке потребителя прилагаются следующие документы:</w:t>
      </w:r>
    </w:p>
    <w:p w:rsidR="00071946" w:rsidRDefault="00A311C9">
      <w:pPr>
        <w:numPr>
          <w:ilvl w:val="0"/>
          <w:numId w:val="3"/>
        </w:numPr>
        <w:tabs>
          <w:tab w:val="left" w:pos="680"/>
        </w:tabs>
        <w:ind w:left="68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</w:t>
      </w:r>
      <w:r>
        <w:rPr>
          <w:rFonts w:eastAsia="Times New Roman"/>
          <w:sz w:val="24"/>
          <w:szCs w:val="24"/>
        </w:rPr>
        <w:t>жилым и нежилым помещением, земельным участком;</w:t>
      </w:r>
    </w:p>
    <w:p w:rsidR="00071946" w:rsidRDefault="00A311C9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подтверждающие наличие:</w:t>
      </w:r>
    </w:p>
    <w:p w:rsidR="00071946" w:rsidRDefault="00A311C9">
      <w:pPr>
        <w:numPr>
          <w:ilvl w:val="0"/>
          <w:numId w:val="3"/>
        </w:numPr>
        <w:tabs>
          <w:tab w:val="left" w:pos="680"/>
        </w:tabs>
        <w:ind w:left="68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управляющей организации или товарищества собственников жилья либо жилищного, жилищно-строительного или иного специализированного потребительского кооператива обязанности п</w:t>
      </w:r>
      <w:r>
        <w:rPr>
          <w:rFonts w:eastAsia="Times New Roman"/>
          <w:sz w:val="24"/>
          <w:szCs w:val="24"/>
        </w:rPr>
        <w:t>о предоставлению коммунальной услуги по обращению с твердыми коммунальными отходами собственникам твердых коммунальных отходов;</w:t>
      </w:r>
    </w:p>
    <w:p w:rsidR="00071946" w:rsidRDefault="00A311C9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управляющей организации лицензии на осуществление предпринимательской деятельности по управлению многоквартирными домами;</w:t>
      </w:r>
    </w:p>
    <w:p w:rsidR="00071946" w:rsidRDefault="00A311C9">
      <w:pPr>
        <w:numPr>
          <w:ilvl w:val="0"/>
          <w:numId w:val="3"/>
        </w:numPr>
        <w:tabs>
          <w:tab w:val="left" w:pos="680"/>
        </w:tabs>
        <w:ind w:left="68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дове</w:t>
      </w:r>
      <w:r>
        <w:rPr>
          <w:rFonts w:eastAsia="Times New Roman"/>
          <w:sz w:val="24"/>
          <w:szCs w:val="24"/>
        </w:rPr>
        <w:t>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</w:t>
      </w:r>
      <w:r>
        <w:rPr>
          <w:rFonts w:eastAsia="Times New Roman"/>
          <w:sz w:val="24"/>
          <w:szCs w:val="24"/>
        </w:rPr>
        <w:t>и отходами (для представителя -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Федерации);</w:t>
      </w:r>
    </w:p>
    <w:p w:rsidR="00071946" w:rsidRDefault="00A311C9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соде</w:t>
      </w:r>
      <w:r>
        <w:rPr>
          <w:rFonts w:eastAsia="Times New Roman"/>
          <w:sz w:val="24"/>
          <w:szCs w:val="24"/>
        </w:rPr>
        <w:t>ржащие сведения:</w:t>
      </w:r>
    </w:p>
    <w:p w:rsidR="00071946" w:rsidRDefault="00A311C9">
      <w:pPr>
        <w:numPr>
          <w:ilvl w:val="0"/>
          <w:numId w:val="3"/>
        </w:numPr>
        <w:tabs>
          <w:tab w:val="left" w:pos="680"/>
        </w:tabs>
        <w:ind w:left="68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утверждаемых органом исполнительной в</w:t>
      </w:r>
      <w:r>
        <w:rPr>
          <w:rFonts w:eastAsia="Times New Roman"/>
          <w:sz w:val="24"/>
          <w:szCs w:val="24"/>
        </w:rPr>
        <w:t>ласти субъекта Российской Федерации или органом местного самоуправления поселения или городского округа (в случае наделения их соответствующими полномочиями законом субъекта Российской Федерации) при определении нормативов накопления твердых коммунальных о</w:t>
      </w:r>
      <w:r>
        <w:rPr>
          <w:rFonts w:eastAsia="Times New Roman"/>
          <w:sz w:val="24"/>
          <w:szCs w:val="24"/>
        </w:rPr>
        <w:t>тходов для соответствующей категории объекта;</w:t>
      </w:r>
    </w:p>
    <w:p w:rsidR="00071946" w:rsidRDefault="00A311C9">
      <w:pPr>
        <w:numPr>
          <w:ilvl w:val="0"/>
          <w:numId w:val="3"/>
        </w:numPr>
        <w:tabs>
          <w:tab w:val="left" w:pos="680"/>
        </w:tabs>
        <w:ind w:left="68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</w:t>
      </w:r>
      <w:r>
        <w:rPr>
          <w:rFonts w:eastAsia="Times New Roman"/>
          <w:sz w:val="24"/>
          <w:szCs w:val="24"/>
        </w:rPr>
        <w:t>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</w:t>
      </w:r>
    </w:p>
    <w:p w:rsidR="00071946" w:rsidRDefault="00071946">
      <w:pPr>
        <w:spacing w:line="232" w:lineRule="exact"/>
        <w:rPr>
          <w:sz w:val="20"/>
          <w:szCs w:val="20"/>
        </w:rPr>
      </w:pPr>
    </w:p>
    <w:p w:rsidR="00071946" w:rsidRDefault="00A311C9">
      <w:pPr>
        <w:spacing w:line="270" w:lineRule="auto"/>
        <w:ind w:left="260" w:right="1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Информацию необходимо направлять на электронную почту: </w:t>
      </w:r>
      <w:r>
        <w:rPr>
          <w:rFonts w:eastAsia="Times New Roman"/>
          <w:color w:val="0000FF"/>
          <w:sz w:val="23"/>
          <w:szCs w:val="23"/>
          <w:u w:val="single"/>
        </w:rPr>
        <w:t>dogovor@sahufa.ru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color w:val="0000FF"/>
          <w:sz w:val="23"/>
          <w:szCs w:val="23"/>
          <w:u w:val="single"/>
        </w:rPr>
        <w:t>ro1@sahufa.</w:t>
      </w:r>
      <w:r>
        <w:rPr>
          <w:rFonts w:eastAsia="Times New Roman"/>
          <w:color w:val="0000FF"/>
          <w:sz w:val="23"/>
          <w:szCs w:val="23"/>
          <w:u w:val="single"/>
        </w:rPr>
        <w:t>ru</w:t>
      </w:r>
      <w:r>
        <w:rPr>
          <w:rFonts w:eastAsia="Times New Roman"/>
          <w:color w:val="0000FF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- для управляющих компаний (ТСЖ, ТСН и т.п.),</w:t>
      </w:r>
    </w:p>
    <w:p w:rsidR="00071946" w:rsidRDefault="00071946">
      <w:pPr>
        <w:spacing w:line="1" w:lineRule="exact"/>
        <w:rPr>
          <w:sz w:val="20"/>
          <w:szCs w:val="20"/>
        </w:rPr>
      </w:pPr>
    </w:p>
    <w:p w:rsidR="00071946" w:rsidRDefault="00A311C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либо по адресу: </w:t>
      </w:r>
      <w:r>
        <w:rPr>
          <w:rFonts w:eastAsia="Times New Roman"/>
          <w:color w:val="333333"/>
          <w:sz w:val="24"/>
          <w:szCs w:val="24"/>
          <w:highlight w:val="white"/>
        </w:rPr>
        <w:t>450059, РФ, Республика Башкортостан, г. Уфа, ул. Малая Гражданская,35;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  <w:highlight w:val="white"/>
        </w:rPr>
        <w:t>МУП «Спецавтохозяйство по уборке города» региональный оператора в зоне деятельности №1.</w:t>
      </w:r>
    </w:p>
    <w:p w:rsidR="00003444" w:rsidRDefault="00003444" w:rsidP="00003444">
      <w:pPr>
        <w:spacing w:line="322" w:lineRule="auto"/>
        <w:ind w:right="-259"/>
        <w:rPr>
          <w:sz w:val="20"/>
          <w:szCs w:val="20"/>
        </w:rPr>
      </w:pPr>
    </w:p>
    <w:p w:rsidR="00071946" w:rsidRDefault="00A311C9" w:rsidP="00003444">
      <w:pPr>
        <w:spacing w:line="322" w:lineRule="auto"/>
        <w:ind w:right="-2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МУП «</w:t>
      </w:r>
      <w:proofErr w:type="spellStart"/>
      <w:r>
        <w:rPr>
          <w:rFonts w:eastAsia="Times New Roman"/>
          <w:sz w:val="24"/>
          <w:szCs w:val="24"/>
        </w:rPr>
        <w:t>Спецавтохозяйство</w:t>
      </w:r>
      <w:proofErr w:type="spellEnd"/>
      <w:r>
        <w:rPr>
          <w:rFonts w:eastAsia="Times New Roman"/>
          <w:sz w:val="24"/>
          <w:szCs w:val="24"/>
        </w:rPr>
        <w:t xml:space="preserve"> по </w:t>
      </w:r>
      <w:r>
        <w:rPr>
          <w:rFonts w:eastAsia="Times New Roman"/>
          <w:sz w:val="24"/>
          <w:szCs w:val="24"/>
        </w:rPr>
        <w:t>уборке города» региональный оператора в зоне деятельности № 1.</w:t>
      </w:r>
    </w:p>
    <w:p w:rsidR="00071946" w:rsidRDefault="00071946">
      <w:pPr>
        <w:sectPr w:rsidR="00071946" w:rsidSect="00003444">
          <w:pgSz w:w="11900" w:h="16838"/>
          <w:pgMar w:top="395" w:right="560" w:bottom="174" w:left="1440" w:header="0" w:footer="0" w:gutter="0"/>
          <w:cols w:space="720" w:equalWidth="0">
            <w:col w:w="9900"/>
          </w:cols>
        </w:sectPr>
      </w:pPr>
    </w:p>
    <w:p w:rsidR="00071946" w:rsidRDefault="00071946">
      <w:pPr>
        <w:spacing w:line="82" w:lineRule="exact"/>
        <w:rPr>
          <w:sz w:val="20"/>
          <w:szCs w:val="20"/>
        </w:rPr>
      </w:pPr>
      <w:bookmarkStart w:id="0" w:name="_GoBack"/>
      <w:bookmarkEnd w:id="0"/>
    </w:p>
    <w:sectPr w:rsidR="00071946">
      <w:type w:val="continuous"/>
      <w:pgSz w:w="11900" w:h="16838"/>
      <w:pgMar w:top="395" w:right="846" w:bottom="17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9E50D1E0"/>
    <w:lvl w:ilvl="0" w:tplc="3056D256">
      <w:start w:val="1"/>
      <w:numFmt w:val="bullet"/>
      <w:lvlText w:val="-"/>
      <w:lvlJc w:val="left"/>
    </w:lvl>
    <w:lvl w:ilvl="1" w:tplc="C6623654">
      <w:numFmt w:val="decimal"/>
      <w:lvlText w:val=""/>
      <w:lvlJc w:val="left"/>
    </w:lvl>
    <w:lvl w:ilvl="2" w:tplc="B39C1AE4">
      <w:numFmt w:val="decimal"/>
      <w:lvlText w:val=""/>
      <w:lvlJc w:val="left"/>
    </w:lvl>
    <w:lvl w:ilvl="3" w:tplc="FEF6B42A">
      <w:numFmt w:val="decimal"/>
      <w:lvlText w:val=""/>
      <w:lvlJc w:val="left"/>
    </w:lvl>
    <w:lvl w:ilvl="4" w:tplc="4DECA45A">
      <w:numFmt w:val="decimal"/>
      <w:lvlText w:val=""/>
      <w:lvlJc w:val="left"/>
    </w:lvl>
    <w:lvl w:ilvl="5" w:tplc="AF504408">
      <w:numFmt w:val="decimal"/>
      <w:lvlText w:val=""/>
      <w:lvlJc w:val="left"/>
    </w:lvl>
    <w:lvl w:ilvl="6" w:tplc="7676E6A2">
      <w:numFmt w:val="decimal"/>
      <w:lvlText w:val=""/>
      <w:lvlJc w:val="left"/>
    </w:lvl>
    <w:lvl w:ilvl="7" w:tplc="8A9E3AFE">
      <w:numFmt w:val="decimal"/>
      <w:lvlText w:val=""/>
      <w:lvlJc w:val="left"/>
    </w:lvl>
    <w:lvl w:ilvl="8" w:tplc="B2260168">
      <w:numFmt w:val="decimal"/>
      <w:lvlText w:val=""/>
      <w:lvlJc w:val="left"/>
    </w:lvl>
  </w:abstractNum>
  <w:abstractNum w:abstractNumId="1">
    <w:nsid w:val="00004AE1"/>
    <w:multiLevelType w:val="hybridMultilevel"/>
    <w:tmpl w:val="29A62498"/>
    <w:lvl w:ilvl="0" w:tplc="2A1A7904">
      <w:start w:val="1"/>
      <w:numFmt w:val="bullet"/>
      <w:lvlText w:val="-"/>
      <w:lvlJc w:val="left"/>
    </w:lvl>
    <w:lvl w:ilvl="1" w:tplc="EBE2F022">
      <w:start w:val="1"/>
      <w:numFmt w:val="bullet"/>
      <w:lvlText w:val="и"/>
      <w:lvlJc w:val="left"/>
    </w:lvl>
    <w:lvl w:ilvl="2" w:tplc="DFA67C06">
      <w:start w:val="1"/>
      <w:numFmt w:val="bullet"/>
      <w:lvlText w:val="В"/>
      <w:lvlJc w:val="left"/>
    </w:lvl>
    <w:lvl w:ilvl="3" w:tplc="77D47628">
      <w:numFmt w:val="decimal"/>
      <w:lvlText w:val=""/>
      <w:lvlJc w:val="left"/>
    </w:lvl>
    <w:lvl w:ilvl="4" w:tplc="52EA3BEE">
      <w:numFmt w:val="decimal"/>
      <w:lvlText w:val=""/>
      <w:lvlJc w:val="left"/>
    </w:lvl>
    <w:lvl w:ilvl="5" w:tplc="82325B14">
      <w:numFmt w:val="decimal"/>
      <w:lvlText w:val=""/>
      <w:lvlJc w:val="left"/>
    </w:lvl>
    <w:lvl w:ilvl="6" w:tplc="A372B728">
      <w:numFmt w:val="decimal"/>
      <w:lvlText w:val=""/>
      <w:lvlJc w:val="left"/>
    </w:lvl>
    <w:lvl w:ilvl="7" w:tplc="016273FA">
      <w:numFmt w:val="decimal"/>
      <w:lvlText w:val=""/>
      <w:lvlJc w:val="left"/>
    </w:lvl>
    <w:lvl w:ilvl="8" w:tplc="E256B20A">
      <w:numFmt w:val="decimal"/>
      <w:lvlText w:val=""/>
      <w:lvlJc w:val="left"/>
    </w:lvl>
  </w:abstractNum>
  <w:abstractNum w:abstractNumId="2">
    <w:nsid w:val="00006784"/>
    <w:multiLevelType w:val="hybridMultilevel"/>
    <w:tmpl w:val="188E6DD0"/>
    <w:lvl w:ilvl="0" w:tplc="2BA248E6">
      <w:start w:val="1"/>
      <w:numFmt w:val="bullet"/>
      <w:lvlText w:val="и"/>
      <w:lvlJc w:val="left"/>
    </w:lvl>
    <w:lvl w:ilvl="1" w:tplc="1408F4A0">
      <w:start w:val="1"/>
      <w:numFmt w:val="bullet"/>
      <w:lvlText w:val="В"/>
      <w:lvlJc w:val="left"/>
    </w:lvl>
    <w:lvl w:ilvl="2" w:tplc="2CD8BA66">
      <w:numFmt w:val="decimal"/>
      <w:lvlText w:val=""/>
      <w:lvlJc w:val="left"/>
    </w:lvl>
    <w:lvl w:ilvl="3" w:tplc="5A98E776">
      <w:numFmt w:val="decimal"/>
      <w:lvlText w:val=""/>
      <w:lvlJc w:val="left"/>
    </w:lvl>
    <w:lvl w:ilvl="4" w:tplc="38FC8B0A">
      <w:numFmt w:val="decimal"/>
      <w:lvlText w:val=""/>
      <w:lvlJc w:val="left"/>
    </w:lvl>
    <w:lvl w:ilvl="5" w:tplc="642A3F8E">
      <w:numFmt w:val="decimal"/>
      <w:lvlText w:val=""/>
      <w:lvlJc w:val="left"/>
    </w:lvl>
    <w:lvl w:ilvl="6" w:tplc="7A1AD418">
      <w:numFmt w:val="decimal"/>
      <w:lvlText w:val=""/>
      <w:lvlJc w:val="left"/>
    </w:lvl>
    <w:lvl w:ilvl="7" w:tplc="20EEC8C2">
      <w:numFmt w:val="decimal"/>
      <w:lvlText w:val=""/>
      <w:lvlJc w:val="left"/>
    </w:lvl>
    <w:lvl w:ilvl="8" w:tplc="6C48950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46"/>
    <w:rsid w:val="00003444"/>
    <w:rsid w:val="00071946"/>
    <w:rsid w:val="00A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Специалист отдела И.Т.0</cp:lastModifiedBy>
  <cp:revision>4</cp:revision>
  <dcterms:created xsi:type="dcterms:W3CDTF">2019-10-17T10:29:00Z</dcterms:created>
  <dcterms:modified xsi:type="dcterms:W3CDTF">2019-10-17T10:31:00Z</dcterms:modified>
</cp:coreProperties>
</file>