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A212AF" w:rsidRDefault="00A212AF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46C69">
        <w:t>Регоператор</w:t>
      </w:r>
      <w:proofErr w:type="spellEnd"/>
      <w:r w:rsidRPr="00546C69">
        <w:t xml:space="preserve">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</w:t>
      </w:r>
      <w:proofErr w:type="spellStart"/>
      <w:r w:rsidRPr="00546C69">
        <w:t>регоператора</w:t>
      </w:r>
      <w:proofErr w:type="spellEnd"/>
      <w:r w:rsidRPr="00546C69">
        <w:t xml:space="preserve">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</w:t>
      </w:r>
      <w:proofErr w:type="spellStart"/>
      <w:r w:rsidRPr="00546C69">
        <w:t>регоператором</w:t>
      </w:r>
      <w:proofErr w:type="spellEnd"/>
      <w:r w:rsidRPr="00546C69">
        <w:t xml:space="preserve"> предложения о заключении договора на оказание услуг по обращению с ТКО направляет </w:t>
      </w:r>
      <w:proofErr w:type="spellStart"/>
      <w:r w:rsidRPr="00546C69">
        <w:lastRenderedPageBreak/>
        <w:t>регоператору</w:t>
      </w:r>
      <w:proofErr w:type="spellEnd"/>
      <w:r w:rsidRPr="00546C69">
        <w:t xml:space="preserve"> заявку потребителя и документы, предусмотренные </w:t>
      </w:r>
      <w:hyperlink r:id="rId9" w:anchor="/document/71540160/entry/1085" w:history="1">
        <w:r w:rsidRPr="00546C69">
          <w:t xml:space="preserve">пунктами </w:t>
        </w:r>
        <w:r w:rsidRPr="00546C69">
          <w:br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на сайтах всех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регоператоров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При этом можно сделать перерасчет. Например, если человек находился в отъезде. В этом случае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обращению с ТКО нужно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расчетным путем исходя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lastRenderedPageBreak/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ГО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№2, №4+ – ООО «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Дюртюлимелиоводстрой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>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Дюртюлимелиоводстрой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» – «ТКО РО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Дюртюлимелиоводстрой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зоне деятельности №1 МУП «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уборке города» приложения были разработаны республиканскими клиентскими сервисами: МУП ЕРКЦ: «Инари ЖХ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 (для жителей ГО г. Уфа).</w:t>
      </w:r>
      <w:bookmarkStart w:id="0" w:name="_GoBack"/>
      <w:bookmarkEnd w:id="0"/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</w:t>
      </w:r>
      <w:r w:rsidRPr="00A212AF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 xml:space="preserve">«онлайн-калькулятор субсидий» http://rcspn.mintrudrb.ru/housing-subvention-calculator, с помощью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>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ФККО, утвержденным приказом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защите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прав участников реконструкции жилых домов различных форм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древеснокустарниковой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proofErr w:type="gramStart"/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  <w:proofErr w:type="gramEnd"/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  <w:proofErr w:type="gramEnd"/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 и утверждает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lastRenderedPageBreak/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</w:t>
      </w:r>
      <w:proofErr w:type="spellStart"/>
      <w:r w:rsidRPr="00546C69">
        <w:rPr>
          <w:rStyle w:val="ac"/>
          <w:b/>
          <w:bCs/>
        </w:rPr>
        <w:t>Росприроднадзор</w:t>
      </w:r>
      <w:proofErr w:type="spellEnd"/>
      <w:r w:rsidRPr="00546C69">
        <w:rPr>
          <w:rStyle w:val="ac"/>
          <w:b/>
          <w:bCs/>
        </w:rPr>
        <w:t>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 xml:space="preserve">места для накопления и накопление отработанных ртутьсодержащих </w:t>
      </w:r>
      <w:proofErr w:type="gramStart"/>
      <w:r w:rsidRPr="00546C69">
        <w:t>ламп</w:t>
      </w:r>
      <w:proofErr w:type="gramEnd"/>
      <w:r w:rsidRPr="00546C69"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C6337E">
      <w:footerReference w:type="default" r:id="rId10"/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CA" w:rsidRDefault="000C30CA" w:rsidP="009C7955">
      <w:pPr>
        <w:spacing w:after="0" w:line="240" w:lineRule="auto"/>
      </w:pPr>
      <w:r>
        <w:separator/>
      </w:r>
    </w:p>
  </w:endnote>
  <w:endnote w:type="continuationSeparator" w:id="0">
    <w:p w:rsidR="000C30CA" w:rsidRDefault="000C30CA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FE">
          <w:rPr>
            <w:noProof/>
          </w:rPr>
          <w:t>2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CA" w:rsidRDefault="000C30CA" w:rsidP="009C7955">
      <w:pPr>
        <w:spacing w:after="0" w:line="240" w:lineRule="auto"/>
      </w:pPr>
      <w:r>
        <w:separator/>
      </w:r>
    </w:p>
  </w:footnote>
  <w:footnote w:type="continuationSeparator" w:id="0">
    <w:p w:rsidR="000C30CA" w:rsidRDefault="000C30CA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0C30CA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5A21"/>
    <w:rsid w:val="00797B3D"/>
    <w:rsid w:val="007D1535"/>
    <w:rsid w:val="007F3C21"/>
    <w:rsid w:val="0081521B"/>
    <w:rsid w:val="00816DCA"/>
    <w:rsid w:val="00856AB8"/>
    <w:rsid w:val="008614D9"/>
    <w:rsid w:val="00870386"/>
    <w:rsid w:val="008961E6"/>
    <w:rsid w:val="008B65C8"/>
    <w:rsid w:val="008D0A12"/>
    <w:rsid w:val="00926AC4"/>
    <w:rsid w:val="009536C9"/>
    <w:rsid w:val="00981F93"/>
    <w:rsid w:val="009845E1"/>
    <w:rsid w:val="009A71C3"/>
    <w:rsid w:val="009C7955"/>
    <w:rsid w:val="009C7DB8"/>
    <w:rsid w:val="009D19B3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6337E"/>
    <w:rsid w:val="00C72103"/>
    <w:rsid w:val="00CA612E"/>
    <w:rsid w:val="00D411E8"/>
    <w:rsid w:val="00D41EFE"/>
    <w:rsid w:val="00D71958"/>
    <w:rsid w:val="00D75C2E"/>
    <w:rsid w:val="00D84C98"/>
    <w:rsid w:val="00D90610"/>
    <w:rsid w:val="00D92FE0"/>
    <w:rsid w:val="00DE19FF"/>
    <w:rsid w:val="00DF7866"/>
    <w:rsid w:val="00E46245"/>
    <w:rsid w:val="00E620CE"/>
    <w:rsid w:val="00E81D8C"/>
    <w:rsid w:val="00EE1C85"/>
    <w:rsid w:val="00EE6129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3B7-E745-4853-9533-91B9256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AlpUfa1</cp:lastModifiedBy>
  <cp:revision>3</cp:revision>
  <cp:lastPrinted>2020-10-06T05:30:00Z</cp:lastPrinted>
  <dcterms:created xsi:type="dcterms:W3CDTF">2020-10-06T05:35:00Z</dcterms:created>
  <dcterms:modified xsi:type="dcterms:W3CDTF">2023-06-06T11:14:00Z</dcterms:modified>
</cp:coreProperties>
</file>